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E1E0" w14:textId="77777777" w:rsidR="00C27E54" w:rsidRDefault="00263A79">
      <w:pPr>
        <w:pStyle w:val="Titre2"/>
        <w:jc w:val="center"/>
        <w:rPr>
          <w:rFonts w:hint="eastAsia"/>
          <w:sz w:val="40"/>
          <w:szCs w:val="40"/>
        </w:rPr>
      </w:pPr>
      <w:r>
        <w:rPr>
          <w:color w:val="FF0000"/>
          <w:sz w:val="40"/>
          <w:szCs w:val="40"/>
        </w:rPr>
        <w:t>NOTE</w:t>
      </w: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FBF1A5D" wp14:editId="7163479C">
            <wp:simplePos x="0" y="0"/>
            <wp:positionH relativeFrom="column">
              <wp:posOffset>4804920</wp:posOffset>
            </wp:positionH>
            <wp:positionV relativeFrom="paragraph">
              <wp:posOffset>-67320</wp:posOffset>
            </wp:positionV>
            <wp:extent cx="1755720" cy="1323360"/>
            <wp:effectExtent l="0" t="0" r="0" b="0"/>
            <wp:wrapSquare wrapText="bothSides"/>
            <wp:docPr id="206216082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720" cy="13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40"/>
          <w:szCs w:val="40"/>
        </w:rPr>
        <w:t xml:space="preserve"> : </w:t>
      </w:r>
      <w:r>
        <w:rPr>
          <w:i/>
          <w:iCs/>
          <w:color w:val="FF0000"/>
          <w:sz w:val="40"/>
          <w:szCs w:val="40"/>
        </w:rPr>
        <w:t xml:space="preserve">Dispositif </w:t>
      </w:r>
      <w:proofErr w:type="spellStart"/>
      <w:r>
        <w:rPr>
          <w:i/>
          <w:iCs/>
          <w:color w:val="FF0000"/>
          <w:sz w:val="40"/>
          <w:szCs w:val="40"/>
        </w:rPr>
        <w:t>AvenirPro</w:t>
      </w:r>
      <w:proofErr w:type="spellEnd"/>
      <w:r>
        <w:rPr>
          <w:i/>
          <w:iCs/>
          <w:color w:val="FF0000"/>
          <w:sz w:val="40"/>
          <w:szCs w:val="40"/>
        </w:rPr>
        <w:t xml:space="preserve"> / </w:t>
      </w:r>
      <w:proofErr w:type="spellStart"/>
      <w:r>
        <w:rPr>
          <w:i/>
          <w:iCs/>
          <w:color w:val="FF0000"/>
          <w:sz w:val="40"/>
          <w:szCs w:val="40"/>
        </w:rPr>
        <w:t>AvenirPro</w:t>
      </w:r>
      <w:proofErr w:type="spellEnd"/>
      <w:r>
        <w:rPr>
          <w:i/>
          <w:iCs/>
          <w:color w:val="FF0000"/>
          <w:sz w:val="40"/>
          <w:szCs w:val="40"/>
        </w:rPr>
        <w:t>+</w:t>
      </w:r>
    </w:p>
    <w:p w14:paraId="3A83FF9B" w14:textId="77777777" w:rsidR="00C27E54" w:rsidRDefault="00263A79">
      <w:pPr>
        <w:pStyle w:val="Textbody"/>
        <w:spacing w:after="0"/>
        <w:jc w:val="center"/>
        <w:rPr>
          <w:rFonts w:ascii="Roboto, Arial, Helvetica, sans-" w:hAnsi="Roboto, Arial, Helvetica, sans-" w:hint="eastAsia"/>
          <w:i/>
          <w:iCs/>
          <w:color w:val="FFFFFF"/>
          <w:sz w:val="21"/>
        </w:rPr>
      </w:pPr>
      <w:r>
        <w:rPr>
          <w:rFonts w:ascii="Roboto, Arial, Helvetica, sans-" w:hAnsi="Roboto, Arial, Helvetica, sans-"/>
          <w:i/>
          <w:iCs/>
          <w:color w:val="FFFFFF"/>
          <w:sz w:val="21"/>
        </w:rPr>
        <w:t xml:space="preserve"> A1-4</w:t>
      </w:r>
    </w:p>
    <w:p w14:paraId="74F19DBE" w14:textId="77777777" w:rsidR="00C27E54" w:rsidRDefault="00263A79">
      <w:pPr>
        <w:pStyle w:val="Textbody"/>
        <w:jc w:val="center"/>
        <w:rPr>
          <w:rFonts w:hint="eastAsia"/>
        </w:rPr>
      </w:pPr>
      <w:r>
        <w:rPr>
          <w:rStyle w:val="StrongEmphasis"/>
          <w:i/>
          <w:iCs/>
        </w:rPr>
        <w:t>Arrêté du 28 novembre 2025 – mise en œuvre 2025-2026</w:t>
      </w:r>
    </w:p>
    <w:p w14:paraId="743D8A51" w14:textId="77777777" w:rsidR="00C27E54" w:rsidRDefault="00C27E54">
      <w:pPr>
        <w:pStyle w:val="Titre3"/>
        <w:rPr>
          <w:rFonts w:hint="eastAsia"/>
        </w:rPr>
      </w:pPr>
    </w:p>
    <w:p w14:paraId="77F02ED9" w14:textId="77777777" w:rsidR="00C27E54" w:rsidRDefault="00263A79">
      <w:pPr>
        <w:pStyle w:val="Titre3"/>
        <w:rPr>
          <w:rFonts w:hint="eastAsia"/>
          <w:color w:val="2A6099"/>
        </w:rPr>
      </w:pPr>
      <w:r>
        <w:rPr>
          <w:color w:val="2A6099"/>
        </w:rPr>
        <w:t>1. Ce que met en place le ministère</w:t>
      </w:r>
    </w:p>
    <w:p w14:paraId="54422A8D" w14:textId="53F8DC5D" w:rsidR="00C27E54" w:rsidRPr="00EF154B" w:rsidRDefault="00263A79">
      <w:pPr>
        <w:pStyle w:val="Textbody"/>
        <w:jc w:val="both"/>
        <w:rPr>
          <w:rFonts w:hint="eastAsia"/>
        </w:rPr>
      </w:pPr>
      <w:r w:rsidRPr="00EF154B">
        <w:t xml:space="preserve">Le dispositif </w:t>
      </w:r>
      <w:proofErr w:type="spellStart"/>
      <w:r w:rsidRPr="00EF154B">
        <w:rPr>
          <w:rStyle w:val="StrongEmphasis"/>
          <w:b w:val="0"/>
          <w:bCs w:val="0"/>
        </w:rPr>
        <w:t>AvenirPro</w:t>
      </w:r>
      <w:proofErr w:type="spellEnd"/>
      <w:r w:rsidRPr="00EF154B">
        <w:t xml:space="preserve">, tel que précisé par la note de service du 15 </w:t>
      </w:r>
      <w:r w:rsidR="00817B74" w:rsidRPr="00EF154B">
        <w:t>décembre</w:t>
      </w:r>
      <w:r w:rsidRPr="00EF154B">
        <w:t xml:space="preserve"> 2025, vise à renforcer l’insertion professionnelle des élèves de lycée professionnel à travers deux phases :</w:t>
      </w:r>
    </w:p>
    <w:p w14:paraId="09673679" w14:textId="77777777" w:rsidR="00C27E54" w:rsidRPr="00EF154B" w:rsidRDefault="00263A79">
      <w:pPr>
        <w:pStyle w:val="Textbody"/>
        <w:numPr>
          <w:ilvl w:val="0"/>
          <w:numId w:val="1"/>
        </w:numPr>
        <w:spacing w:after="26"/>
        <w:jc w:val="both"/>
        <w:rPr>
          <w:rFonts w:hint="eastAsia"/>
        </w:rPr>
      </w:pPr>
      <w:proofErr w:type="spellStart"/>
      <w:r w:rsidRPr="00EF154B">
        <w:rPr>
          <w:rStyle w:val="StrongEmphasis"/>
        </w:rPr>
        <w:t>AvenirPro</w:t>
      </w:r>
      <w:proofErr w:type="spellEnd"/>
      <w:r w:rsidRPr="00EF154B">
        <w:rPr>
          <w:rStyle w:val="StrongEmphasis"/>
        </w:rPr>
        <w:t xml:space="preserve"> (phase 1)</w:t>
      </w:r>
      <w:r w:rsidRPr="00EF154B">
        <w:t xml:space="preserve"> : intégrée à l’année de terminale (CAP, bac pro, BMA…), elle repose sur des ateliers collectifs, des entretiens individualisés et des événements en lien avec l’emploi, animés principalement par </w:t>
      </w:r>
      <w:r w:rsidRPr="00EF154B">
        <w:rPr>
          <w:rStyle w:val="StrongEmphasis"/>
          <w:b w:val="0"/>
          <w:bCs w:val="0"/>
        </w:rPr>
        <w:t>France Travail</w:t>
      </w:r>
      <w:r w:rsidRPr="00EF154B">
        <w:t xml:space="preserve"> et les </w:t>
      </w:r>
      <w:r w:rsidRPr="00EF154B">
        <w:rPr>
          <w:rStyle w:val="StrongEmphasis"/>
          <w:b w:val="0"/>
          <w:bCs w:val="0"/>
        </w:rPr>
        <w:t>missions locales</w:t>
      </w:r>
      <w:r w:rsidRPr="00EF154B">
        <w:t>, en lien avec les équipes pédagogiques.</w:t>
      </w:r>
    </w:p>
    <w:p w14:paraId="57A16BDD" w14:textId="77777777" w:rsidR="00C27E54" w:rsidRPr="00EF154B" w:rsidRDefault="00263A79">
      <w:pPr>
        <w:pStyle w:val="Textbody"/>
        <w:numPr>
          <w:ilvl w:val="0"/>
          <w:numId w:val="1"/>
        </w:numPr>
        <w:spacing w:after="26"/>
        <w:jc w:val="both"/>
        <w:rPr>
          <w:rFonts w:hint="eastAsia"/>
        </w:rPr>
      </w:pPr>
      <w:proofErr w:type="spellStart"/>
      <w:r w:rsidRPr="00EF154B">
        <w:rPr>
          <w:rStyle w:val="StrongEmphasis"/>
        </w:rPr>
        <w:t>AvenirPro</w:t>
      </w:r>
      <w:proofErr w:type="spellEnd"/>
      <w:r w:rsidRPr="00EF154B">
        <w:rPr>
          <w:rStyle w:val="StrongEmphasis"/>
        </w:rPr>
        <w:t>+ (phase 2)</w:t>
      </w:r>
      <w:r w:rsidRPr="00EF154B">
        <w:t xml:space="preserve"> : accompagnement post-examen, sur la base du volontariat, pour les jeunes sans solution de formation ni d’emploi, pour une durée maximale de quatre mois. Ce dispositif remplace </w:t>
      </w:r>
      <w:r w:rsidRPr="00EF154B">
        <w:rPr>
          <w:rStyle w:val="StrongEmphasis"/>
        </w:rPr>
        <w:t>Ambition Emploi</w:t>
      </w:r>
      <w:r w:rsidRPr="00EF154B">
        <w:t>.</w:t>
      </w:r>
    </w:p>
    <w:p w14:paraId="66B3E80E" w14:textId="77777777" w:rsidR="00C27E54" w:rsidRPr="00EF154B" w:rsidRDefault="00263A79">
      <w:pPr>
        <w:pStyle w:val="Textbody"/>
        <w:jc w:val="both"/>
        <w:rPr>
          <w:rFonts w:hint="eastAsia"/>
        </w:rPr>
      </w:pPr>
      <w:r w:rsidRPr="00EF154B">
        <w:t xml:space="preserve">Le chef d’établissement devient un </w:t>
      </w:r>
      <w:r w:rsidRPr="00EF154B">
        <w:rPr>
          <w:rStyle w:val="StrongEmphasis"/>
        </w:rPr>
        <w:t>acteur central du pilotage</w:t>
      </w:r>
      <w:r w:rsidRPr="00EF154B">
        <w:t xml:space="preserve">, notamment en phase 2, avec désignation de </w:t>
      </w:r>
      <w:r w:rsidRPr="00EF154B">
        <w:rPr>
          <w:rStyle w:val="StrongEmphasis"/>
        </w:rPr>
        <w:t>professeurs référents volontaires</w:t>
      </w:r>
      <w:r w:rsidRPr="00EF154B">
        <w:t xml:space="preserve">, mission intégrée au </w:t>
      </w:r>
      <w:r w:rsidRPr="00EF154B">
        <w:rPr>
          <w:rStyle w:val="StrongEmphasis"/>
        </w:rPr>
        <w:t>pacte enseignant</w:t>
      </w:r>
      <w:r w:rsidRPr="00EF154B">
        <w:t>.</w:t>
      </w:r>
    </w:p>
    <w:p w14:paraId="1EDA5B12" w14:textId="77777777" w:rsidR="00C27E54" w:rsidRDefault="00263A79">
      <w:pPr>
        <w:pStyle w:val="Titre3"/>
        <w:rPr>
          <w:rFonts w:hint="eastAsia"/>
          <w:color w:val="2A6099"/>
        </w:rPr>
      </w:pPr>
      <w:r>
        <w:rPr>
          <w:color w:val="2A6099"/>
        </w:rPr>
        <w:t>2. Une logique d’insertion qui interroge la mission de l’École</w:t>
      </w:r>
    </w:p>
    <w:p w14:paraId="39E4904A" w14:textId="5345FC45" w:rsidR="00C27E54" w:rsidRPr="00EF154B" w:rsidRDefault="00263A79">
      <w:pPr>
        <w:pStyle w:val="Textbody"/>
        <w:jc w:val="both"/>
        <w:rPr>
          <w:rFonts w:hint="eastAsia"/>
        </w:rPr>
      </w:pPr>
      <w:r w:rsidRPr="00EF154B">
        <w:t xml:space="preserve">Le </w:t>
      </w:r>
      <w:r w:rsidR="00817B74" w:rsidRPr="00EF154B">
        <w:t>SNUEP-FSU</w:t>
      </w:r>
      <w:r w:rsidRPr="00EF154B">
        <w:t xml:space="preserve"> alerte sur une </w:t>
      </w:r>
      <w:r w:rsidRPr="00EF154B">
        <w:rPr>
          <w:rStyle w:val="StrongEmphasis"/>
          <w:b w:val="0"/>
          <w:bCs w:val="0"/>
        </w:rPr>
        <w:t xml:space="preserve">évolution préoccupante de la mission de l’enseignement professionnel. </w:t>
      </w:r>
      <w:r w:rsidRPr="00EF154B">
        <w:t>La phase 1 d’</w:t>
      </w:r>
      <w:proofErr w:type="spellStart"/>
      <w:r w:rsidRPr="00EF154B">
        <w:t>AvenirPro</w:t>
      </w:r>
      <w:proofErr w:type="spellEnd"/>
      <w:r w:rsidRPr="00EF154B">
        <w:t xml:space="preserve"> </w:t>
      </w:r>
      <w:r w:rsidRPr="00EF154B">
        <w:rPr>
          <w:rStyle w:val="StrongEmphasis"/>
          <w:b w:val="0"/>
          <w:bCs w:val="0"/>
        </w:rPr>
        <w:t>installe l’insertion professionnelle comme horizon prioritaire</w:t>
      </w:r>
      <w:r w:rsidRPr="00EF154B">
        <w:t xml:space="preserve">, y compris pour des élèves qui n’ont pas encore arrêté leur projet. La poursuite d’études apparaît comme </w:t>
      </w:r>
      <w:r w:rsidRPr="00EF154B">
        <w:rPr>
          <w:rStyle w:val="StrongEmphasis"/>
          <w:b w:val="0"/>
          <w:bCs w:val="0"/>
        </w:rPr>
        <w:t>secondaire</w:t>
      </w:r>
      <w:r w:rsidRPr="00EF154B">
        <w:t xml:space="preserve">, alors qu’elle relève pleinement des missions de l’Éducation nationale. De plus, les contenus proposés (CV, lettre de motivation, entretiens de recrutement, connaissance des attentes des recruteurs) relèvent largement de </w:t>
      </w:r>
      <w:r w:rsidRPr="00EF154B">
        <w:rPr>
          <w:rStyle w:val="StrongEmphasis"/>
          <w:b w:val="0"/>
          <w:bCs w:val="0"/>
        </w:rPr>
        <w:t>logiques de placement sur le marché du travail</w:t>
      </w:r>
      <w:r w:rsidRPr="00EF154B">
        <w:t>, parfois au détriment de la construction de qualifications et de parcours émancipateurs.</w:t>
      </w:r>
    </w:p>
    <w:p w14:paraId="10803D0E" w14:textId="6CB45EAE" w:rsidR="00C27E54" w:rsidRPr="00EF154B" w:rsidRDefault="00263A79">
      <w:pPr>
        <w:pStyle w:val="Textbody"/>
        <w:rPr>
          <w:rFonts w:hint="eastAsia"/>
        </w:rPr>
      </w:pPr>
      <w:r w:rsidRPr="00EF154B">
        <w:rPr>
          <w:rStyle w:val="StrongEmphasis"/>
        </w:rPr>
        <w:t xml:space="preserve">Le </w:t>
      </w:r>
      <w:r w:rsidR="00817B74" w:rsidRPr="00EF154B">
        <w:rPr>
          <w:rStyle w:val="StrongEmphasis"/>
        </w:rPr>
        <w:t>risque est</w:t>
      </w:r>
      <w:r w:rsidRPr="00EF154B">
        <w:rPr>
          <w:b/>
          <w:bCs/>
        </w:rPr>
        <w:t xml:space="preserve"> une transformation progressive du lycée professionnel en </w:t>
      </w:r>
      <w:r w:rsidRPr="00EF154B">
        <w:rPr>
          <w:rStyle w:val="StrongEmphasis"/>
        </w:rPr>
        <w:t>antichambre de France Travail</w:t>
      </w:r>
      <w:r w:rsidRPr="00EF154B">
        <w:rPr>
          <w:b/>
          <w:bCs/>
        </w:rPr>
        <w:t>, au détriment de la formation initiale.</w:t>
      </w:r>
    </w:p>
    <w:p w14:paraId="22B2F138" w14:textId="77777777" w:rsidR="00C27E54" w:rsidRDefault="00263A79">
      <w:pPr>
        <w:pStyle w:val="Titre3"/>
        <w:rPr>
          <w:rFonts w:hint="eastAsia"/>
          <w:color w:val="2A6099"/>
        </w:rPr>
      </w:pPr>
      <w:r>
        <w:rPr>
          <w:color w:val="2A6099"/>
        </w:rPr>
        <w:t>3. Une externalisation croissante vers France Travail et les missions locales</w:t>
      </w:r>
    </w:p>
    <w:p w14:paraId="45DCAE7C" w14:textId="77777777" w:rsidR="00C27E54" w:rsidRDefault="00263A79">
      <w:pPr>
        <w:pStyle w:val="Textbody"/>
        <w:jc w:val="both"/>
        <w:rPr>
          <w:rFonts w:hint="eastAsia"/>
        </w:rPr>
      </w:pPr>
      <w:r>
        <w:t xml:space="preserve">Le dispositif repose fortement sur des intervenants extérieurs (animation des ateliers collectifs, accompagnement individualisé, restitution aux enseignants de l’état d’avancement des élèves, co-pilotage des parcours </w:t>
      </w:r>
      <w:proofErr w:type="spellStart"/>
      <w:r>
        <w:t>AvenirPro</w:t>
      </w:r>
      <w:proofErr w:type="spellEnd"/>
      <w:r>
        <w:t>+). Si la coopération inter-institutionnelle peut être utile, elle pose plusieurs problèmes. Une c</w:t>
      </w:r>
      <w:r>
        <w:rPr>
          <w:rStyle w:val="StrongEmphasis"/>
          <w:b w:val="0"/>
          <w:bCs w:val="0"/>
        </w:rPr>
        <w:t>onfusion des rôles</w:t>
      </w:r>
      <w:r>
        <w:t xml:space="preserve"> entre personnels de l’Éducation nationale et opérateurs de l’emploi. Une a</w:t>
      </w:r>
      <w:r>
        <w:rPr>
          <w:rStyle w:val="StrongEmphasis"/>
          <w:b w:val="0"/>
          <w:bCs w:val="0"/>
        </w:rPr>
        <w:t>cculturation à sens unique</w:t>
      </w:r>
      <w:r>
        <w:t>, où l’école s’adapte aux logiques de l’employabilité plutôt que l’inverse. Une t</w:t>
      </w:r>
      <w:r>
        <w:rPr>
          <w:rStyle w:val="StrongEmphasis"/>
          <w:b w:val="0"/>
          <w:bCs w:val="0"/>
        </w:rPr>
        <w:t>ransmission d’informations sensibles</w:t>
      </w:r>
      <w:r>
        <w:t xml:space="preserve"> sur les élèves (freins à l’emploi, situation personnelle) sans cadre clairement défini pour la protection des données et le secret professionnel.</w:t>
      </w:r>
    </w:p>
    <w:p w14:paraId="3E1EAD47" w14:textId="77777777" w:rsidR="00C27E54" w:rsidRDefault="00263A79">
      <w:pPr>
        <w:pStyle w:val="Textbody"/>
        <w:rPr>
          <w:rFonts w:hint="eastAsia"/>
        </w:rPr>
      </w:pPr>
      <w:r>
        <w:rPr>
          <w:b/>
          <w:bCs/>
        </w:rPr>
        <w:t xml:space="preserve">Le SNUEP-FSU rappelle que </w:t>
      </w:r>
      <w:r>
        <w:rPr>
          <w:rStyle w:val="StrongEmphasis"/>
        </w:rPr>
        <w:t>l’orientation et l’accompagnement des élèves relèvent d’abord de personnels formés et statutaires de l’Éducation nationale</w:t>
      </w:r>
      <w:r>
        <w:rPr>
          <w:b/>
          <w:bCs/>
        </w:rPr>
        <w:t>.</w:t>
      </w:r>
    </w:p>
    <w:p w14:paraId="6ECAEDDB" w14:textId="77777777" w:rsidR="00C27E54" w:rsidRDefault="00263A79">
      <w:pPr>
        <w:pStyle w:val="Titre3"/>
        <w:rPr>
          <w:rFonts w:hint="eastAsia"/>
          <w:color w:val="2A6099"/>
        </w:rPr>
      </w:pPr>
      <w:r>
        <w:rPr>
          <w:color w:val="2A6099"/>
        </w:rPr>
        <w:t>4. Des charges nouvelles pour les personnels, sans garanties suffisantes</w:t>
      </w:r>
    </w:p>
    <w:p w14:paraId="7A13E2BE" w14:textId="660B3888" w:rsidR="00C27E54" w:rsidRDefault="00263A79">
      <w:pPr>
        <w:pStyle w:val="Textbody"/>
        <w:jc w:val="both"/>
        <w:rPr>
          <w:rFonts w:hint="eastAsia"/>
        </w:rPr>
      </w:pPr>
      <w:r>
        <w:t xml:space="preserve">Le dispositif fait peser de nouvelles obligations sur les équipes avec une intégration des ateliers sur les heures de </w:t>
      </w:r>
      <w:r>
        <w:rPr>
          <w:rStyle w:val="StrongEmphasis"/>
          <w:b w:val="0"/>
          <w:bCs w:val="0"/>
        </w:rPr>
        <w:t>soutien au parcours / accompagnement personnalisé,</w:t>
      </w:r>
      <w:r>
        <w:t xml:space="preserve"> une présence obligatoire des enseignants</w:t>
      </w:r>
      <w:r w:rsidR="00817B74">
        <w:t xml:space="preserve"> </w:t>
      </w:r>
      <w:r>
        <w:t xml:space="preserve">lors des interventions extérieures, une coordination accrue avec le bureau des entreprises et en phase 2, la désignation de </w:t>
      </w:r>
      <w:r>
        <w:rPr>
          <w:rStyle w:val="StrongEmphasis"/>
          <w:b w:val="0"/>
          <w:bCs w:val="0"/>
        </w:rPr>
        <w:t>professeurs référents de parcours</w:t>
      </w:r>
      <w:r>
        <w:t>, mission intégrée au pacte.</w:t>
      </w:r>
    </w:p>
    <w:p w14:paraId="67EE7A59" w14:textId="7DB18C79" w:rsidR="00C27E54" w:rsidRPr="00817B74" w:rsidRDefault="00263A79">
      <w:pPr>
        <w:pStyle w:val="Textbody"/>
        <w:jc w:val="both"/>
        <w:rPr>
          <w:rFonts w:hint="eastAsia"/>
        </w:rPr>
      </w:pPr>
      <w:r w:rsidRPr="00817B74">
        <w:rPr>
          <w:b/>
          <w:bCs/>
        </w:rPr>
        <w:lastRenderedPageBreak/>
        <w:t xml:space="preserve">Le SNUEP-FSU alerte sur la </w:t>
      </w:r>
      <w:r w:rsidR="00817B74" w:rsidRPr="00817B74">
        <w:rPr>
          <w:b/>
          <w:bCs/>
        </w:rPr>
        <w:t>non-création</w:t>
      </w:r>
      <w:r w:rsidRPr="00817B74">
        <w:rPr>
          <w:rStyle w:val="StrongEmphasis"/>
        </w:rPr>
        <w:t xml:space="preserve"> de postes et l’alourdissement du </w:t>
      </w:r>
      <w:r w:rsidRPr="00817B74">
        <w:rPr>
          <w:b/>
          <w:bCs/>
        </w:rPr>
        <w:t xml:space="preserve">service des PLP. Le possible recours au </w:t>
      </w:r>
      <w:r w:rsidRPr="00817B74">
        <w:rPr>
          <w:rStyle w:val="StrongEmphasis"/>
        </w:rPr>
        <w:t>volontariat contraint</w:t>
      </w:r>
      <w:r w:rsidRPr="00817B74">
        <w:rPr>
          <w:b/>
          <w:bCs/>
        </w:rPr>
        <w:t>, dans des établissements déjà en tension</w:t>
      </w:r>
      <w:r w:rsidR="00817B74" w:rsidRPr="00817B74">
        <w:rPr>
          <w:b/>
          <w:bCs/>
        </w:rPr>
        <w:t>,</w:t>
      </w:r>
      <w:r w:rsidRPr="00817B74">
        <w:rPr>
          <w:b/>
          <w:bCs/>
        </w:rPr>
        <w:t xml:space="preserve"> l’extension des missions hors temps scolaire (réunions post-résultats, rentrée, suivi jusqu’en février) et le flou sur la </w:t>
      </w:r>
      <w:r w:rsidRPr="00817B74">
        <w:rPr>
          <w:rStyle w:val="StrongEmphasis"/>
        </w:rPr>
        <w:t>reconnaissance réelle du travail effectué</w:t>
      </w:r>
      <w:r w:rsidRPr="00817B74">
        <w:rPr>
          <w:b/>
          <w:bCs/>
        </w:rPr>
        <w:t xml:space="preserve"> et sur les moyens horaires alloués.</w:t>
      </w:r>
    </w:p>
    <w:p w14:paraId="42D894C1" w14:textId="38FF98D5" w:rsidR="00C27E54" w:rsidRPr="000D6D0D" w:rsidRDefault="00263A79">
      <w:pPr>
        <w:pStyle w:val="Textbody"/>
        <w:jc w:val="both"/>
        <w:rPr>
          <w:rFonts w:hint="eastAsia"/>
        </w:rPr>
      </w:pPr>
      <w:r w:rsidRPr="000D6D0D">
        <w:rPr>
          <w:b/>
          <w:bCs/>
        </w:rPr>
        <w:t xml:space="preserve">Le SNUEP-FSU refuse que l’accompagnement social et professionnel des jeunes repose sur le </w:t>
      </w:r>
      <w:r w:rsidR="000D6D0D" w:rsidRPr="000D6D0D">
        <w:rPr>
          <w:rStyle w:val="StrongEmphasis"/>
        </w:rPr>
        <w:t>sur engagemen</w:t>
      </w:r>
      <w:r w:rsidR="000D6D0D" w:rsidRPr="000D6D0D">
        <w:rPr>
          <w:rStyle w:val="StrongEmphasis"/>
          <w:rFonts w:hint="eastAsia"/>
        </w:rPr>
        <w:t>t</w:t>
      </w:r>
      <w:r w:rsidRPr="000D6D0D">
        <w:rPr>
          <w:rStyle w:val="StrongEmphasis"/>
        </w:rPr>
        <w:t xml:space="preserve"> des personnels</w:t>
      </w:r>
      <w:r w:rsidRPr="000D6D0D">
        <w:rPr>
          <w:b/>
          <w:bCs/>
        </w:rPr>
        <w:t>. Il rappelle son mandat de développement des équipes pluri professionnelles pour une prise en charge globale des jeunes.</w:t>
      </w:r>
    </w:p>
    <w:p w14:paraId="09CF8396" w14:textId="77777777" w:rsidR="00C27E54" w:rsidRDefault="00263A79">
      <w:pPr>
        <w:pStyle w:val="Titre3"/>
        <w:rPr>
          <w:rFonts w:hint="eastAsia"/>
          <w:color w:val="2A6099"/>
        </w:rPr>
      </w:pPr>
      <w:r>
        <w:rPr>
          <w:color w:val="2A6099"/>
        </w:rPr>
        <w:t xml:space="preserve">5. </w:t>
      </w:r>
      <w:proofErr w:type="spellStart"/>
      <w:r>
        <w:rPr>
          <w:color w:val="2A6099"/>
        </w:rPr>
        <w:t>AvenirPro</w:t>
      </w:r>
      <w:proofErr w:type="spellEnd"/>
      <w:r>
        <w:rPr>
          <w:color w:val="2A6099"/>
        </w:rPr>
        <w:t>+ : sécurisation ou gestion des « sans solution » ?</w:t>
      </w:r>
    </w:p>
    <w:p w14:paraId="78F7D24D" w14:textId="2263C3E5" w:rsidR="00C27E54" w:rsidRDefault="00263A79">
      <w:pPr>
        <w:pStyle w:val="Textbody"/>
        <w:jc w:val="both"/>
        <w:rPr>
          <w:rFonts w:hint="eastAsia"/>
        </w:rPr>
      </w:pPr>
      <w:r>
        <w:t>La phase 2 maintient le statut scolaire des jeunes, ce qui constitue un point positif. Cependant,</w:t>
      </w:r>
      <w:r w:rsidR="000D6D0D">
        <w:t xml:space="preserve"> </w:t>
      </w:r>
      <w:r>
        <w:t xml:space="preserve">elle concerne prioritairement les élèves </w:t>
      </w:r>
      <w:r>
        <w:rPr>
          <w:rStyle w:val="StrongEmphasis"/>
          <w:b w:val="0"/>
          <w:bCs w:val="0"/>
        </w:rPr>
        <w:t>échouant à l’examen ou sans insertion immédiate</w:t>
      </w:r>
      <w:r>
        <w:t xml:space="preserve">, renforçant une logique de </w:t>
      </w:r>
      <w:r>
        <w:rPr>
          <w:rStyle w:val="StrongEmphasis"/>
          <w:b w:val="0"/>
          <w:bCs w:val="0"/>
        </w:rPr>
        <w:t>gestion des flux</w:t>
      </w:r>
      <w:r>
        <w:t xml:space="preserve"> plutôt que de droit à la formation. Les contenus proposés sont extrêmement larges, parfois éloignés d’un cadre scolaire (immersions, service civique alterné, dispositifs d’insertion). Le basculement final vers les dispositifs type </w:t>
      </w:r>
      <w:r>
        <w:rPr>
          <w:rStyle w:val="StrongEmphasis"/>
          <w:b w:val="0"/>
          <w:bCs w:val="0"/>
        </w:rPr>
        <w:t>CEJ, PACEA, PAO</w:t>
      </w:r>
      <w:r>
        <w:t xml:space="preserve"> acte une sortie progressive de l’Éducation nationale. Le SNUEP-FSU s’inquiète d’une </w:t>
      </w:r>
      <w:r>
        <w:rPr>
          <w:rStyle w:val="StrongEmphasis"/>
          <w:b w:val="0"/>
          <w:bCs w:val="0"/>
        </w:rPr>
        <w:t>externalisation déguisée du décrochage scolaire</w:t>
      </w:r>
      <w:r>
        <w:t>, sous couvert d’accompagnement personnalisé.</w:t>
      </w:r>
    </w:p>
    <w:p w14:paraId="564BD8BF" w14:textId="77777777" w:rsidR="00C27E54" w:rsidRDefault="00263A79">
      <w:pPr>
        <w:pStyle w:val="Textbody"/>
        <w:spacing w:after="26"/>
        <w:rPr>
          <w:rFonts w:hint="eastAsia"/>
          <w:b/>
          <w:bCs/>
          <w:color w:val="FF0000"/>
          <w:sz w:val="12"/>
          <w:szCs w:val="12"/>
        </w:rPr>
      </w:pPr>
      <w:r>
        <w:rPr>
          <w:b/>
          <w:bCs/>
          <w:noProof/>
          <w:color w:val="FF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F261C" wp14:editId="2825AC28">
                <wp:simplePos x="0" y="0"/>
                <wp:positionH relativeFrom="column">
                  <wp:posOffset>-18360</wp:posOffset>
                </wp:positionH>
                <wp:positionV relativeFrom="paragraph">
                  <wp:posOffset>78840</wp:posOffset>
                </wp:positionV>
                <wp:extent cx="6619679" cy="3102840"/>
                <wp:effectExtent l="19050" t="19050" r="9721" b="21360"/>
                <wp:wrapNone/>
                <wp:docPr id="1062633092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679" cy="31028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36360">
                          <a:solidFill>
                            <a:srgbClr val="FF420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E9CC7E" w14:textId="77777777" w:rsidR="00C27E54" w:rsidRDefault="00C27E5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17640" tIns="17640" rIns="17640" bIns="176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261C" id="Forme 1" o:spid="_x0000_s1026" style="position:absolute;margin-left:-1.45pt;margin-top:6.2pt;width:521.25pt;height:244.3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" adj="-11796480,,5400" path="m,l21600,r,21600l,21600,,xe" filled="f" strokecolor="#ff420e" strokeweight="1.01mm">
                <v:stroke joinstyle="miter"/>
                <v:formulas/>
                <v:path arrowok="t" o:connecttype="custom" o:connectlocs="3309840,0;6619679,1551420;3309840,3102840;0,1551420" o:connectangles="270,0,90,180" textboxrect="0,0,21600,21600"/>
                <v:textbox inset=".49mm,.49mm,.49mm,.49mm">
                  <w:txbxContent>
                    <w:p w14:paraId="05E9CC7E" w14:textId="77777777" w:rsidR="00C27E54" w:rsidRDefault="00C27E5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C6EC22" w14:textId="77777777" w:rsidR="00C27E54" w:rsidRDefault="00263A79">
      <w:pPr>
        <w:pStyle w:val="Textbody"/>
        <w:spacing w:after="26"/>
        <w:rPr>
          <w:rFonts w:hint="eastAsia"/>
          <w:color w:val="FF0000"/>
        </w:rPr>
      </w:pPr>
      <w:r>
        <w:rPr>
          <w:b/>
          <w:bCs/>
          <w:color w:val="FF0000"/>
          <w:sz w:val="32"/>
          <w:szCs w:val="32"/>
        </w:rPr>
        <w:t xml:space="preserve">     Le SNUEP-FSU exige :</w:t>
      </w:r>
    </w:p>
    <w:p w14:paraId="085D988A" w14:textId="77777777" w:rsidR="00C27E54" w:rsidRDefault="00C27E54">
      <w:pPr>
        <w:pStyle w:val="Textbody"/>
        <w:spacing w:after="26"/>
        <w:rPr>
          <w:rFonts w:hint="eastAsia"/>
          <w:b/>
          <w:bCs/>
          <w:color w:val="FF0000"/>
          <w:sz w:val="12"/>
          <w:szCs w:val="12"/>
        </w:rPr>
      </w:pPr>
    </w:p>
    <w:p w14:paraId="09B1A4DA" w14:textId="77777777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>Le respect de la mission première du lycée professionnel</w:t>
      </w:r>
      <w:r>
        <w:rPr>
          <w:color w:val="FF0000"/>
        </w:rPr>
        <w:t xml:space="preserve"> : former, qualifier, émanciper – pas seulement placer.</w:t>
      </w:r>
    </w:p>
    <w:p w14:paraId="7F0DF3F1" w14:textId="27B1D92F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  <w:color w:val="FF0000"/>
        </w:rPr>
      </w:pPr>
      <w:r>
        <w:rPr>
          <w:b/>
          <w:bCs/>
          <w:color w:val="FF0000"/>
        </w:rPr>
        <w:t xml:space="preserve">Une priorité pour la qualification </w:t>
      </w:r>
      <w:r>
        <w:rPr>
          <w:color w:val="FF0000"/>
        </w:rPr>
        <w:t xml:space="preserve">de tous les jeunes et la mise en œuvre du droit au redoublement pour les élèves ayant échoués </w:t>
      </w:r>
      <w:r w:rsidR="000F6694">
        <w:rPr>
          <w:color w:val="FF0000"/>
        </w:rPr>
        <w:t>à</w:t>
      </w:r>
      <w:r>
        <w:rPr>
          <w:color w:val="FF0000"/>
        </w:rPr>
        <w:t xml:space="preserve"> l’examen.</w:t>
      </w:r>
    </w:p>
    <w:p w14:paraId="55545FF5" w14:textId="77777777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>Des moyens humains dédiés</w:t>
      </w:r>
      <w:r>
        <w:rPr>
          <w:color w:val="FF0000"/>
        </w:rPr>
        <w:t xml:space="preserve"> (postes, heures) pour toute mission d’accompagnement renforcé.</w:t>
      </w:r>
    </w:p>
    <w:p w14:paraId="20F21A24" w14:textId="77777777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>Aucune obligation pour les enseignants</w:t>
      </w:r>
      <w:r>
        <w:rPr>
          <w:color w:val="FF0000"/>
        </w:rPr>
        <w:t xml:space="preserve"> d’entrer dans le pacte pour assurer ces missions.</w:t>
      </w:r>
    </w:p>
    <w:p w14:paraId="02E18C48" w14:textId="77777777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>Une clarification des rôles et des responsabilités</w:t>
      </w:r>
      <w:r>
        <w:rPr>
          <w:color w:val="FF0000"/>
        </w:rPr>
        <w:t>, notamment sur le suivi des élèves et la gestion des données.</w:t>
      </w:r>
    </w:p>
    <w:p w14:paraId="21CF5849" w14:textId="77777777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>Une réelle égalité entre insertion et poursuite d’études</w:t>
      </w:r>
      <w:r>
        <w:rPr>
          <w:color w:val="FF0000"/>
        </w:rPr>
        <w:t>, dans les discours comme dans les pratiques.</w:t>
      </w:r>
    </w:p>
    <w:p w14:paraId="2A7AAFDB" w14:textId="707DD7C4" w:rsidR="00C27E54" w:rsidRDefault="00263A79">
      <w:pPr>
        <w:pStyle w:val="Textbody"/>
        <w:numPr>
          <w:ilvl w:val="0"/>
          <w:numId w:val="2"/>
        </w:numPr>
        <w:spacing w:after="26"/>
        <w:jc w:val="both"/>
        <w:rPr>
          <w:rFonts w:hint="eastAsia"/>
        </w:rPr>
      </w:pPr>
      <w:r>
        <w:rPr>
          <w:rStyle w:val="StrongEmphasis"/>
          <w:color w:val="FF0000"/>
        </w:rPr>
        <w:t xml:space="preserve">Un véritable bilan </w:t>
      </w:r>
      <w:r w:rsidR="000F6694">
        <w:rPr>
          <w:rStyle w:val="StrongEmphasis"/>
          <w:color w:val="FF0000"/>
        </w:rPr>
        <w:t xml:space="preserve">national </w:t>
      </w:r>
      <w:r w:rsidR="000F6694">
        <w:rPr>
          <w:b/>
          <w:bCs/>
          <w:color w:val="FF0000"/>
        </w:rPr>
        <w:t>du</w:t>
      </w:r>
      <w:r>
        <w:rPr>
          <w:b/>
          <w:bCs/>
          <w:color w:val="FF0000"/>
        </w:rPr>
        <w:t xml:space="preserve"> dispositif Ambition Emploi </w:t>
      </w:r>
      <w:r>
        <w:rPr>
          <w:color w:val="FF0000"/>
        </w:rPr>
        <w:t>qui n’a aucunement prouv</w:t>
      </w:r>
      <w:r w:rsidR="000F6694">
        <w:rPr>
          <w:color w:val="FF0000"/>
        </w:rPr>
        <w:t>é</w:t>
      </w:r>
      <w:r>
        <w:rPr>
          <w:color w:val="FF0000"/>
        </w:rPr>
        <w:t xml:space="preserve"> sa pertinence en terme</w:t>
      </w:r>
      <w:r w:rsidR="000F6694">
        <w:rPr>
          <w:color w:val="FF0000"/>
        </w:rPr>
        <w:t>s</w:t>
      </w:r>
      <w:r>
        <w:rPr>
          <w:color w:val="FF0000"/>
        </w:rPr>
        <w:t xml:space="preserve"> d’insertion professionnelle.</w:t>
      </w:r>
    </w:p>
    <w:p w14:paraId="3FB92C0A" w14:textId="77777777" w:rsidR="00C27E54" w:rsidRDefault="00C27E54">
      <w:pPr>
        <w:pStyle w:val="Titre3"/>
        <w:rPr>
          <w:rFonts w:hint="eastAsia"/>
          <w:i/>
          <w:iCs/>
          <w:color w:val="FF0000"/>
          <w:sz w:val="12"/>
          <w:szCs w:val="12"/>
        </w:rPr>
      </w:pPr>
    </w:p>
    <w:p w14:paraId="3DDB6069" w14:textId="77777777" w:rsidR="00C27E54" w:rsidRDefault="00263A79">
      <w:pPr>
        <w:pStyle w:val="Titre3"/>
        <w:spacing w:before="0" w:after="0"/>
        <w:rPr>
          <w:rFonts w:hint="eastAsia"/>
          <w:i/>
          <w:iCs/>
          <w:color w:val="FF0000"/>
        </w:rPr>
      </w:pPr>
      <w:r>
        <w:rPr>
          <w:i/>
          <w:iCs/>
          <w:color w:val="FF0000"/>
        </w:rPr>
        <w:t>Points de vigilance pour les équipes</w:t>
      </w:r>
    </w:p>
    <w:p w14:paraId="240E81C0" w14:textId="77777777" w:rsidR="00C27E54" w:rsidRDefault="00263A79">
      <w:pPr>
        <w:pStyle w:val="Textbody"/>
        <w:numPr>
          <w:ilvl w:val="0"/>
          <w:numId w:val="3"/>
        </w:numPr>
        <w:spacing w:after="26"/>
        <w:rPr>
          <w:rFonts w:hint="eastAsia"/>
        </w:rPr>
      </w:pPr>
      <w:r>
        <w:rPr>
          <w:i/>
          <w:iCs/>
          <w:color w:val="FF0000"/>
        </w:rPr>
        <w:t xml:space="preserve">Refuser toute mise en œuvre </w:t>
      </w:r>
      <w:r>
        <w:rPr>
          <w:rStyle w:val="StrongEmphasis"/>
          <w:b w:val="0"/>
          <w:bCs w:val="0"/>
          <w:i/>
          <w:iCs/>
          <w:color w:val="FF0000"/>
        </w:rPr>
        <w:t>hors cadre réglementaire</w:t>
      </w:r>
      <w:r>
        <w:rPr>
          <w:i/>
          <w:iCs/>
          <w:color w:val="FF0000"/>
        </w:rPr>
        <w:t xml:space="preserve"> ou sans moyens.</w:t>
      </w:r>
    </w:p>
    <w:p w14:paraId="5B9461EA" w14:textId="77777777" w:rsidR="00C27E54" w:rsidRDefault="00263A79">
      <w:pPr>
        <w:pStyle w:val="Textbody"/>
        <w:numPr>
          <w:ilvl w:val="0"/>
          <w:numId w:val="3"/>
        </w:numPr>
        <w:spacing w:after="26"/>
        <w:rPr>
          <w:rFonts w:hint="eastAsia"/>
        </w:rPr>
      </w:pPr>
      <w:r>
        <w:rPr>
          <w:i/>
          <w:iCs/>
          <w:color w:val="FF0000"/>
        </w:rPr>
        <w:t xml:space="preserve">Exiger la </w:t>
      </w:r>
      <w:r>
        <w:rPr>
          <w:rStyle w:val="StrongEmphasis"/>
          <w:b w:val="0"/>
          <w:bCs w:val="0"/>
          <w:i/>
          <w:iCs/>
          <w:color w:val="FF0000"/>
        </w:rPr>
        <w:t>présentation du dispositif en CA en vérifiant que les temps d’intervention ne viennent pas amputer les temps d’enseignement.</w:t>
      </w:r>
    </w:p>
    <w:p w14:paraId="667D2C91" w14:textId="77777777" w:rsidR="00C27E54" w:rsidRDefault="00263A79">
      <w:pPr>
        <w:pStyle w:val="Textbody"/>
        <w:numPr>
          <w:ilvl w:val="0"/>
          <w:numId w:val="3"/>
        </w:numPr>
        <w:spacing w:after="26"/>
        <w:rPr>
          <w:rFonts w:hint="eastAsia"/>
          <w:i/>
          <w:iCs/>
          <w:color w:val="FF0000"/>
        </w:rPr>
      </w:pPr>
      <w:r>
        <w:rPr>
          <w:i/>
          <w:iCs/>
          <w:color w:val="FF0000"/>
        </w:rPr>
        <w:t>Être attentifs aux pressions sur le volontariat.</w:t>
      </w:r>
    </w:p>
    <w:p w14:paraId="6B23995B" w14:textId="77777777" w:rsidR="00C27E54" w:rsidRDefault="00263A79">
      <w:pPr>
        <w:pStyle w:val="Textbody"/>
        <w:numPr>
          <w:ilvl w:val="0"/>
          <w:numId w:val="3"/>
        </w:numPr>
        <w:spacing w:after="26"/>
        <w:rPr>
          <w:rFonts w:hint="eastAsia"/>
          <w:i/>
          <w:iCs/>
          <w:color w:val="FF0000"/>
        </w:rPr>
      </w:pPr>
      <w:r>
        <w:rPr>
          <w:i/>
          <w:iCs/>
          <w:color w:val="FF0000"/>
        </w:rPr>
        <w:t>Faire remonter toute dérive ou surcharge de travail aux instances syndicales.</w:t>
      </w:r>
    </w:p>
    <w:sectPr w:rsidR="00C27E54">
      <w:footerReference w:type="default" r:id="rId8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358E" w14:textId="77777777" w:rsidR="002513A7" w:rsidRDefault="002513A7">
      <w:pPr>
        <w:rPr>
          <w:rFonts w:hint="eastAsia"/>
        </w:rPr>
      </w:pPr>
      <w:r>
        <w:separator/>
      </w:r>
    </w:p>
  </w:endnote>
  <w:endnote w:type="continuationSeparator" w:id="0">
    <w:p w14:paraId="074D2CFC" w14:textId="77777777" w:rsidR="002513A7" w:rsidRDefault="002513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, Arial, Helvetica, sans-">
    <w:altName w:val="Roboto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C74F" w14:textId="77777777" w:rsidR="0043519C" w:rsidRDefault="00263A79">
    <w:pPr>
      <w:pStyle w:val="Pieddepage"/>
      <w:jc w:val="center"/>
      <w:rPr>
        <w:rFonts w:hint="eastAsia"/>
      </w:rPr>
    </w:pPr>
    <w:r>
      <w:t xml:space="preserve">Page </w:t>
    </w:r>
    <w:bookmarkStart w:id="0" w:name="PageNumWizard_FOOTER_Style_de_page_par_d"/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FD28" w14:textId="77777777" w:rsidR="002513A7" w:rsidRDefault="002513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FA02B9" w14:textId="77777777" w:rsidR="002513A7" w:rsidRDefault="002513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06"/>
    <w:multiLevelType w:val="multilevel"/>
    <w:tmpl w:val="8D36C39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  <w:color w:val="FF0000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  <w:color w:val="FF0000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  <w:color w:val="FF0000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  <w:color w:val="FF0000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  <w:color w:val="FF0000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  <w:color w:val="FF0000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  <w:color w:val="FF0000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  <w:color w:val="FF0000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  <w:color w:val="FF0000"/>
      </w:rPr>
    </w:lvl>
  </w:abstractNum>
  <w:abstractNum w:abstractNumId="1" w15:restartNumberingAfterBreak="0">
    <w:nsid w:val="6FE57E45"/>
    <w:multiLevelType w:val="multilevel"/>
    <w:tmpl w:val="E33ACEA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  <w:color w:val="FF0000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  <w:color w:val="FF0000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  <w:color w:val="FF0000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  <w:color w:val="FF0000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  <w:color w:val="FF0000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  <w:color w:val="FF0000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  <w:color w:val="FF0000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  <w:color w:val="FF0000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  <w:color w:val="FF0000"/>
      </w:rPr>
    </w:lvl>
  </w:abstractNum>
  <w:abstractNum w:abstractNumId="2" w15:restartNumberingAfterBreak="0">
    <w:nsid w:val="71F87F1C"/>
    <w:multiLevelType w:val="multilevel"/>
    <w:tmpl w:val="777678D8"/>
    <w:lvl w:ilvl="0">
      <w:start w:val="1"/>
      <w:numFmt w:val="decimal"/>
      <w:lvlText w:val="%1."/>
      <w:lvlJc w:val="left"/>
      <w:pPr>
        <w:ind w:left="709" w:hanging="283"/>
      </w:pPr>
      <w:rPr>
        <w:color w:val="FF0000"/>
      </w:rPr>
    </w:lvl>
    <w:lvl w:ilvl="1">
      <w:start w:val="1"/>
      <w:numFmt w:val="decimal"/>
      <w:lvlText w:val="%2."/>
      <w:lvlJc w:val="left"/>
      <w:pPr>
        <w:ind w:left="1418" w:hanging="283"/>
      </w:pPr>
      <w:rPr>
        <w:color w:val="FF0000"/>
      </w:rPr>
    </w:lvl>
    <w:lvl w:ilvl="2">
      <w:start w:val="1"/>
      <w:numFmt w:val="decimal"/>
      <w:lvlText w:val="%3."/>
      <w:lvlJc w:val="left"/>
      <w:pPr>
        <w:ind w:left="2127" w:hanging="283"/>
      </w:pPr>
      <w:rPr>
        <w:color w:val="FF0000"/>
      </w:rPr>
    </w:lvl>
    <w:lvl w:ilvl="3">
      <w:start w:val="1"/>
      <w:numFmt w:val="decimal"/>
      <w:lvlText w:val="%4."/>
      <w:lvlJc w:val="left"/>
      <w:pPr>
        <w:ind w:left="2836" w:hanging="283"/>
      </w:pPr>
      <w:rPr>
        <w:color w:val="FF0000"/>
      </w:rPr>
    </w:lvl>
    <w:lvl w:ilvl="4">
      <w:start w:val="1"/>
      <w:numFmt w:val="decimal"/>
      <w:lvlText w:val="%5."/>
      <w:lvlJc w:val="left"/>
      <w:pPr>
        <w:ind w:left="3545" w:hanging="283"/>
      </w:pPr>
      <w:rPr>
        <w:color w:val="FF0000"/>
      </w:rPr>
    </w:lvl>
    <w:lvl w:ilvl="5">
      <w:start w:val="1"/>
      <w:numFmt w:val="decimal"/>
      <w:lvlText w:val="%6."/>
      <w:lvlJc w:val="left"/>
      <w:pPr>
        <w:ind w:left="4254" w:hanging="283"/>
      </w:pPr>
      <w:rPr>
        <w:color w:val="FF0000"/>
      </w:rPr>
    </w:lvl>
    <w:lvl w:ilvl="6">
      <w:start w:val="1"/>
      <w:numFmt w:val="decimal"/>
      <w:lvlText w:val="%7."/>
      <w:lvlJc w:val="left"/>
      <w:pPr>
        <w:ind w:left="4963" w:hanging="283"/>
      </w:pPr>
      <w:rPr>
        <w:color w:val="FF0000"/>
      </w:rPr>
    </w:lvl>
    <w:lvl w:ilvl="7">
      <w:start w:val="1"/>
      <w:numFmt w:val="decimal"/>
      <w:lvlText w:val="%8."/>
      <w:lvlJc w:val="left"/>
      <w:pPr>
        <w:ind w:left="5672" w:hanging="283"/>
      </w:pPr>
      <w:rPr>
        <w:color w:val="FF0000"/>
      </w:rPr>
    </w:lvl>
    <w:lvl w:ilvl="8">
      <w:start w:val="1"/>
      <w:numFmt w:val="decimal"/>
      <w:lvlText w:val="%9."/>
      <w:lvlJc w:val="left"/>
      <w:pPr>
        <w:ind w:left="6381" w:hanging="283"/>
      </w:pPr>
      <w:rPr>
        <w:color w:val="FF0000"/>
      </w:rPr>
    </w:lvl>
  </w:abstractNum>
  <w:num w:numId="1" w16cid:durableId="685592950">
    <w:abstractNumId w:val="1"/>
  </w:num>
  <w:num w:numId="2" w16cid:durableId="1097409571">
    <w:abstractNumId w:val="2"/>
  </w:num>
  <w:num w:numId="3" w16cid:durableId="11975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54"/>
    <w:rsid w:val="000D6D0D"/>
    <w:rsid w:val="000F6694"/>
    <w:rsid w:val="00167AEC"/>
    <w:rsid w:val="002513A7"/>
    <w:rsid w:val="00263A79"/>
    <w:rsid w:val="00293019"/>
    <w:rsid w:val="0043519C"/>
    <w:rsid w:val="00817B74"/>
    <w:rsid w:val="00C27E54"/>
    <w:rsid w:val="00DE1D6F"/>
    <w:rsid w:val="00DE6DC7"/>
    <w:rsid w:val="00E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72B4"/>
  <w15:docId w15:val="{B87C4FFA-FCD1-4CA0-81F0-E4567799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3"/>
        <w:tab w:val="right" w:pos="10206"/>
      </w:tabs>
    </w:pPr>
  </w:style>
  <w:style w:type="paragraph" w:styleId="Pieddepage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  <w:color w:val="FF0000"/>
    </w:rPr>
  </w:style>
  <w:style w:type="character" w:customStyle="1" w:styleId="NumberingSymbols">
    <w:name w:val="Numbering Symbols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Olivier Maratrat</cp:lastModifiedBy>
  <cp:revision>2</cp:revision>
  <dcterms:created xsi:type="dcterms:W3CDTF">2026-01-26T09:37:00Z</dcterms:created>
  <dcterms:modified xsi:type="dcterms:W3CDTF">2026-01-26T09:37:00Z</dcterms:modified>
</cp:coreProperties>
</file>